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Cs/>
          <w:sz w:val="28"/>
          <w:szCs w:val="28"/>
        </w:rPr>
      </w:pPr>
    </w:p>
    <w:p>
      <w:pPr>
        <w:jc w:val="center"/>
        <w:rPr>
          <w:rFonts w:ascii="方正小标宋简体" w:hAnsi="方正小标宋简体" w:eastAsia="方正小标宋简体" w:cs="方正小标宋简体"/>
          <w:bCs/>
          <w:sz w:val="28"/>
          <w:szCs w:val="28"/>
        </w:rPr>
      </w:pPr>
      <w:r>
        <w:rPr>
          <w:rFonts w:hint="eastAsia" w:ascii="方正小标宋简体" w:hAnsi="方正小标宋简体" w:eastAsia="方正小标宋简体" w:cs="方正小标宋简体"/>
          <w:bCs/>
          <w:sz w:val="28"/>
          <w:szCs w:val="28"/>
        </w:rPr>
        <w:t>2023年度山西省科学技术奖申报项目情况</w:t>
      </w:r>
    </w:p>
    <w:p>
      <w:pPr>
        <w:rPr>
          <w:rFonts w:ascii="仿宋_GB2312" w:hAnsi="仿宋_GB2312" w:eastAsia="仿宋_GB2312" w:cs="仿宋_GB2312"/>
          <w:b/>
          <w:szCs w:val="21"/>
          <w:lang w:val="zh-CN"/>
        </w:rPr>
      </w:pPr>
      <w:r>
        <w:rPr>
          <w:rFonts w:hint="eastAsia" w:ascii="仿宋_GB2312" w:hAnsi="仿宋_GB2312" w:eastAsia="仿宋_GB2312" w:cs="仿宋_GB2312"/>
          <w:b/>
          <w:szCs w:val="21"/>
        </w:rPr>
        <w:t>一、项目名称：山区高速公路下伏多煤层采空区处治关键技术</w:t>
      </w:r>
    </w:p>
    <w:p>
      <w:pPr>
        <w:rPr>
          <w:rFonts w:ascii="仿宋_GB2312" w:hAnsi="仿宋_GB2312" w:eastAsia="仿宋_GB2312" w:cs="仿宋_GB2312"/>
          <w:b/>
          <w:szCs w:val="21"/>
        </w:rPr>
      </w:pPr>
      <w:r>
        <w:rPr>
          <w:rFonts w:hint="eastAsia" w:ascii="仿宋_GB2312" w:hAnsi="仿宋_GB2312" w:eastAsia="仿宋_GB2312" w:cs="仿宋_GB2312"/>
          <w:b/>
          <w:szCs w:val="21"/>
        </w:rPr>
        <w:t>二、提名者及提名意见：</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提名者：山西交通控股集团有限公司</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提名意见：该项目属于交通运输领域。随着“一带一路”和交通强国战略的实施，山西省高速公路不断向山区延伸，路网不断加密，越来越多的高速公路不得不穿越多煤层采空区。针对山区多煤层采空区残余变形机理与规律的认识尚不清晰，缺乏有效的山区高速公路下伏多煤层采空区残余变形预测技术，注浆处治设计缺乏科学指导。本项目采用现场调查、理论分析、数值模拟和模型试验等手段，形成了一整套实用、科学的山区高速公路下伏多煤层采空区处治关键技术，为山区高速公路下伏多煤层采空区变形预测、注浆处治设计以及公路工程变形监测提供理论基础和科学指导。项目研究成果兼具创造性与实用性，适合推广应用，有助于促进我国公路事业高质量发展。该项目符合山西省技术发明奖申报的范围和条件，项目材料真实有效。</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同意推荐山西省科技进步二等奖。</w:t>
      </w:r>
    </w:p>
    <w:p>
      <w:pPr>
        <w:numPr>
          <w:ilvl w:val="0"/>
          <w:numId w:val="1"/>
        </w:numPr>
        <w:rPr>
          <w:rFonts w:ascii="仿宋_GB2312" w:hAnsi="仿宋_GB2312" w:eastAsia="仿宋_GB2312" w:cs="仿宋_GB2312"/>
          <w:b/>
          <w:szCs w:val="21"/>
        </w:rPr>
      </w:pPr>
      <w:r>
        <w:rPr>
          <w:rFonts w:hint="eastAsia" w:ascii="仿宋_GB2312" w:hAnsi="仿宋_GB2312" w:eastAsia="仿宋_GB2312" w:cs="仿宋_GB2312"/>
          <w:b/>
          <w:szCs w:val="21"/>
        </w:rPr>
        <w:t>项目简介：</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本项目属于交通运输领域，特别涉及山区高速公路下伏多煤层采空区处治关键技术研发。</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山西省煤炭资源丰富，中低山区多煤层采空区分布范围广，地表沉陷问题十分突出。随着“一带一路”和交通强国战略的实施，高速公路逐渐向山区延伸，交通网络越来越密集，很多高速公路不得不穿越采空区影响范围。多煤层采空区存在残余变形量大、持续时间长、空间差异性强等特点，但针对山区多煤层采空区残余变形机理与规律的认识尚不清晰，缺乏有效的山区高速公路下伏多煤层采空区残余变形预测技术，注浆处治设计缺乏科学指导。</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针对上述问题，本项目采用工程地质调查、现场监测、室内试验、理论分析与数值模拟相结合的手段，研究了山区多煤层采空区变形机理，阐明了多煤层采空区残余变形规律；提出了山区多煤层采空区残余变形数值模拟方法，建立了地表残余变形预测模型；提出了多煤层采空区处治层位、处治时机、处治范围的确定方法，研制了黄土基注浆处治材料，构建了多煤层采空区地表-岩层残余变形监测体系。</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项目共授权发明专利</w:t>
      </w:r>
      <w:r>
        <w:rPr>
          <w:rFonts w:ascii="仿宋_GB2312" w:hAnsi="仿宋_GB2312" w:eastAsia="仿宋_GB2312" w:cs="仿宋_GB2312"/>
          <w:szCs w:val="21"/>
        </w:rPr>
        <w:t>7</w:t>
      </w:r>
      <w:r>
        <w:rPr>
          <w:rFonts w:hint="eastAsia" w:ascii="仿宋_GB2312" w:hAnsi="仿宋_GB2312" w:eastAsia="仿宋_GB2312" w:cs="仿宋_GB2312"/>
          <w:szCs w:val="21"/>
        </w:rPr>
        <w:t>项、实用新型专利</w:t>
      </w:r>
      <w:r>
        <w:rPr>
          <w:rFonts w:ascii="仿宋_GB2312" w:hAnsi="仿宋_GB2312" w:eastAsia="仿宋_GB2312" w:cs="仿宋_GB2312"/>
          <w:szCs w:val="21"/>
        </w:rPr>
        <w:t>1</w:t>
      </w:r>
      <w:r>
        <w:rPr>
          <w:rFonts w:hint="eastAsia" w:ascii="仿宋_GB2312" w:hAnsi="仿宋_GB2312" w:eastAsia="仿宋_GB2312" w:cs="仿宋_GB2312"/>
          <w:szCs w:val="21"/>
        </w:rPr>
        <w:t>项、软件著作权</w:t>
      </w:r>
      <w:r>
        <w:rPr>
          <w:rFonts w:ascii="仿宋_GB2312" w:hAnsi="仿宋_GB2312" w:eastAsia="仿宋_GB2312" w:cs="仿宋_GB2312"/>
          <w:szCs w:val="21"/>
        </w:rPr>
        <w:t>2</w:t>
      </w:r>
      <w:r>
        <w:rPr>
          <w:rFonts w:hint="eastAsia" w:ascii="仿宋_GB2312" w:hAnsi="仿宋_GB2312" w:eastAsia="仿宋_GB2312" w:cs="仿宋_GB2312"/>
          <w:szCs w:val="21"/>
        </w:rPr>
        <w:t>项，出版专著1部，发表论文25篇，其中SCI/EI收录16篇。项目相关成果在晋、桂、豫、贵等省份十余条高等级公路中成功推广应用。研究成果为山区高速公路下伏多煤层采空区提供了优化处治技术与对策，减少了工程造价及资源浪费，为保障高速公路安全运营提供了技术支撑。</w:t>
      </w:r>
    </w:p>
    <w:p>
      <w:pPr>
        <w:rPr>
          <w:rFonts w:ascii="仿宋_GB2312" w:hAnsi="仿宋_GB2312" w:eastAsia="仿宋_GB2312" w:cs="仿宋_GB2312"/>
          <w:b/>
          <w:szCs w:val="21"/>
        </w:rPr>
      </w:pPr>
      <w:r>
        <w:rPr>
          <w:rFonts w:hint="eastAsia" w:ascii="仿宋_GB2312" w:hAnsi="仿宋_GB2312" w:eastAsia="仿宋_GB2312" w:cs="仿宋_GB2312"/>
          <w:b/>
          <w:szCs w:val="21"/>
        </w:rPr>
        <w:t>四、客观评价：</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针对多煤层采空区覆岩结构和应力分布特征与垮落机制，揭示了多煤层开采过程中覆岩破断规律、多煤层采空区应力分布特征及其成因机制，研究了不同煤层间距多煤层开采覆岩垮落带和裂缝带发育特征，提出了基于采空区埋深和间距的活化判定指标。</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针对三维地质建模和剖分技术，本项目通过创建模型框架、界面重构、搜索块体、约束剖分等方法实现优化建模，优化出更适用于岩土领域数值计算的建模剖分技术。</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针对多煤层采空区残余变形规律及长期变形数值模拟预测问题，研究了不同地质条件下采空区不同重叠形态对多煤层采空区残余变形影响规律，提出了采空区残余变形强化过程数值模拟方法，构建了多煤层采空区地表残余变形计算模型，大幅提高了数值模拟计算效率和预测可靠度。</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针对山区多煤层采空区变形控制技术与监测技术，本项目提出了不同开采条件下多煤层采空区处治设计方案，确定了新型黄土基注浆材料最优配比，提出了环保型注浆材料，通过联合GNSS、InSAR、钻孔变形监测仪对采空区地表及岩层变形进行监测，构建了多煤层采空区地表-岩层残余变形监测体系。</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综上，本项目形成的山区高速公路下伏多煤层采空区处治关键技术，为山区高速公路下伏多煤层采空区变形预测、注浆处治设计以及公路工程变形监测提供理论基础和科学指导，适合规模化推广应用。</w:t>
      </w:r>
    </w:p>
    <w:p>
      <w:pPr>
        <w:rPr>
          <w:rFonts w:ascii="仿宋_GB2312" w:hAnsi="仿宋_GB2312" w:eastAsia="仿宋_GB2312" w:cs="仿宋_GB2312"/>
          <w:b/>
          <w:szCs w:val="21"/>
        </w:rPr>
      </w:pPr>
      <w:r>
        <w:rPr>
          <w:rFonts w:hint="eastAsia" w:ascii="仿宋_GB2312" w:hAnsi="仿宋_GB2312" w:eastAsia="仿宋_GB2312" w:cs="仿宋_GB2312"/>
          <w:b/>
          <w:szCs w:val="21"/>
        </w:rPr>
        <w:t>五、推广应用情况：</w:t>
      </w:r>
    </w:p>
    <w:p>
      <w:pPr>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项目研究成果分别在G</w:t>
      </w:r>
      <w:r>
        <w:rPr>
          <w:rFonts w:ascii="仿宋_GB2312" w:hAnsi="仿宋_GB2312" w:eastAsia="仿宋_GB2312" w:cs="仿宋_GB2312"/>
          <w:szCs w:val="21"/>
        </w:rPr>
        <w:t>2003</w:t>
      </w:r>
      <w:r>
        <w:rPr>
          <w:rFonts w:hint="eastAsia" w:ascii="仿宋_GB2312" w:hAnsi="仿宋_GB2312" w:eastAsia="仿宋_GB2312" w:cs="仿宋_GB2312"/>
          <w:szCs w:val="21"/>
        </w:rPr>
        <w:t>太原绕城高速公路义望至凌井店段（太原西北二环）第X</w:t>
      </w:r>
      <w:r>
        <w:rPr>
          <w:rFonts w:ascii="仿宋_GB2312" w:hAnsi="仿宋_GB2312" w:eastAsia="仿宋_GB2312" w:cs="仿宋_GB2312"/>
          <w:szCs w:val="21"/>
        </w:rPr>
        <w:t>EH</w:t>
      </w:r>
      <w:r>
        <w:rPr>
          <w:rFonts w:hint="eastAsia" w:ascii="仿宋_GB2312" w:hAnsi="仿宋_GB2312" w:eastAsia="仿宋_GB2312" w:cs="仿宋_GB2312"/>
          <w:szCs w:val="21"/>
        </w:rPr>
        <w:t>标段施工图设计阶段，国道3</w:t>
      </w:r>
      <w:r>
        <w:rPr>
          <w:rFonts w:ascii="仿宋_GB2312" w:hAnsi="仿宋_GB2312" w:eastAsia="仿宋_GB2312" w:cs="仿宋_GB2312"/>
          <w:szCs w:val="21"/>
        </w:rPr>
        <w:t>07</w:t>
      </w:r>
      <w:r>
        <w:rPr>
          <w:rFonts w:hint="eastAsia" w:ascii="仿宋_GB2312" w:hAnsi="仿宋_GB2312" w:eastAsia="仿宋_GB2312" w:cs="仿宋_GB2312"/>
          <w:szCs w:val="21"/>
        </w:rPr>
        <w:t>线、2</w:t>
      </w:r>
      <w:r>
        <w:rPr>
          <w:rFonts w:ascii="仿宋_GB2312" w:hAnsi="仿宋_GB2312" w:eastAsia="仿宋_GB2312" w:cs="仿宋_GB2312"/>
          <w:szCs w:val="21"/>
        </w:rPr>
        <w:t>07</w:t>
      </w:r>
      <w:r>
        <w:rPr>
          <w:rFonts w:hint="eastAsia" w:ascii="仿宋_GB2312" w:hAnsi="仿宋_GB2312" w:eastAsia="仿宋_GB2312" w:cs="仿宋_GB2312"/>
          <w:szCs w:val="21"/>
        </w:rPr>
        <w:t>线阳泉市绕城改线工程，青兰国家高速公路长治至延安联络线（G</w:t>
      </w:r>
      <w:r>
        <w:rPr>
          <w:rFonts w:ascii="仿宋_GB2312" w:hAnsi="仿宋_GB2312" w:eastAsia="仿宋_GB2312" w:cs="仿宋_GB2312"/>
          <w:szCs w:val="21"/>
        </w:rPr>
        <w:t>2211</w:t>
      </w:r>
      <w:r>
        <w:rPr>
          <w:rFonts w:hint="eastAsia" w:ascii="仿宋_GB2312" w:hAnsi="仿宋_GB2312" w:eastAsia="仿宋_GB2312" w:cs="仿宋_GB2312"/>
          <w:szCs w:val="21"/>
        </w:rPr>
        <w:t>）山西境黎城至霍州段（沁源至霍州段），汾阳至石楼高速公路K</w:t>
      </w:r>
      <w:r>
        <w:rPr>
          <w:rFonts w:ascii="仿宋_GB2312" w:hAnsi="仿宋_GB2312" w:eastAsia="仿宋_GB2312" w:cs="仿宋_GB2312"/>
          <w:szCs w:val="21"/>
        </w:rPr>
        <w:t>0+000-K81+620</w:t>
      </w:r>
      <w:r>
        <w:rPr>
          <w:rFonts w:hint="eastAsia" w:ascii="仿宋_GB2312" w:hAnsi="仿宋_GB2312" w:eastAsia="仿宋_GB2312" w:cs="仿宋_GB2312"/>
          <w:szCs w:val="21"/>
        </w:rPr>
        <w:t>，国道3</w:t>
      </w:r>
      <w:r>
        <w:rPr>
          <w:rFonts w:ascii="仿宋_GB2312" w:hAnsi="仿宋_GB2312" w:eastAsia="仿宋_GB2312" w:cs="仿宋_GB2312"/>
          <w:szCs w:val="21"/>
        </w:rPr>
        <w:t>39</w:t>
      </w:r>
      <w:r>
        <w:rPr>
          <w:rFonts w:hint="eastAsia" w:ascii="仿宋_GB2312" w:hAnsi="仿宋_GB2312" w:eastAsia="仿宋_GB2312" w:cs="仿宋_GB2312"/>
          <w:szCs w:val="21"/>
        </w:rPr>
        <w:t>昔阳县城过境段（建都隧道）改线工程，国道2</w:t>
      </w:r>
      <w:r>
        <w:rPr>
          <w:rFonts w:ascii="仿宋_GB2312" w:hAnsi="仿宋_GB2312" w:eastAsia="仿宋_GB2312" w:cs="仿宋_GB2312"/>
          <w:szCs w:val="21"/>
        </w:rPr>
        <w:t>07</w:t>
      </w:r>
      <w:r>
        <w:rPr>
          <w:rFonts w:hint="eastAsia" w:ascii="仿宋_GB2312" w:hAnsi="仿宋_GB2312" w:eastAsia="仿宋_GB2312" w:cs="仿宋_GB2312"/>
          <w:szCs w:val="21"/>
        </w:rPr>
        <w:t>线长治过境段公路工程，南宁二环（吴圩机场至隆安延长线段）公路，晋阳告诉公路扩建工程等工程进行了推广应用。</w:t>
      </w:r>
    </w:p>
    <w:p>
      <w:pPr>
        <w:ind w:firstLine="420" w:firstLineChars="200"/>
        <w:rPr>
          <w:rFonts w:hint="eastAsia" w:ascii="仿宋_GB2312" w:hAnsi="仿宋_GB2312" w:eastAsia="仿宋_GB2312" w:cs="仿宋_GB2312"/>
          <w:szCs w:val="21"/>
        </w:rPr>
      </w:pPr>
    </w:p>
    <w:p>
      <w:pPr>
        <w:rPr>
          <w:rFonts w:ascii="仿宋_GB2312" w:hAnsi="仿宋_GB2312" w:eastAsia="仿宋_GB2312" w:cs="仿宋_GB2312"/>
          <w:b/>
          <w:szCs w:val="21"/>
        </w:rPr>
      </w:pPr>
      <w:bookmarkStart w:id="0" w:name="_GoBack"/>
      <w:bookmarkEnd w:id="0"/>
      <w:r>
        <w:rPr>
          <w:rFonts w:hint="eastAsia" w:ascii="仿宋_GB2312" w:hAnsi="仿宋_GB2312" w:eastAsia="仿宋_GB2312" w:cs="仿宋_GB2312"/>
          <w:b/>
          <w:szCs w:val="21"/>
        </w:rPr>
        <w:t>六、主要知识产权证明目录：</w:t>
      </w:r>
    </w:p>
    <w:tbl>
      <w:tblPr>
        <w:tblStyle w:val="6"/>
        <w:tblW w:w="986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306"/>
        <w:gridCol w:w="1673"/>
        <w:gridCol w:w="680"/>
        <w:gridCol w:w="1686"/>
        <w:gridCol w:w="15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4306" w:type="dxa"/>
            <w:vAlign w:val="center"/>
          </w:tcPr>
          <w:p>
            <w:pPr>
              <w:ind w:leftChars="-50" w:hanging="105" w:hangingChars="50"/>
              <w:jc w:val="center"/>
              <w:rPr>
                <w:rFonts w:ascii="仿宋_GB2312" w:hAnsi="仿宋_GB2312" w:eastAsia="仿宋_GB2312" w:cs="仿宋_GB2312"/>
                <w:b/>
                <w:bCs/>
                <w:szCs w:val="21"/>
              </w:rPr>
            </w:pPr>
            <w:r>
              <w:rPr>
                <w:rFonts w:hint="eastAsia" w:ascii="仿宋_GB2312" w:hAnsi="仿宋_GB2312" w:eastAsia="仿宋_GB2312" w:cs="仿宋_GB2312"/>
                <w:b/>
                <w:bCs/>
                <w:szCs w:val="21"/>
              </w:rPr>
              <w:t>授权项目名称</w:t>
            </w:r>
          </w:p>
        </w:tc>
        <w:tc>
          <w:tcPr>
            <w:tcW w:w="1673" w:type="dxa"/>
            <w:vAlign w:val="center"/>
          </w:tcPr>
          <w:p>
            <w:pPr>
              <w:ind w:leftChars="-50" w:hanging="105" w:hangingChars="50"/>
              <w:jc w:val="center"/>
              <w:rPr>
                <w:rFonts w:ascii="仿宋_GB2312" w:hAnsi="仿宋_GB2312" w:eastAsia="仿宋_GB2312" w:cs="仿宋_GB2312"/>
                <w:b/>
                <w:bCs/>
                <w:szCs w:val="21"/>
              </w:rPr>
            </w:pPr>
            <w:r>
              <w:rPr>
                <w:rFonts w:hint="eastAsia" w:ascii="仿宋_GB2312" w:hAnsi="仿宋_GB2312" w:eastAsia="仿宋_GB2312" w:cs="仿宋_GB2312"/>
                <w:b/>
                <w:bCs/>
                <w:szCs w:val="21"/>
              </w:rPr>
              <w:t>知识产权类别</w:t>
            </w:r>
          </w:p>
        </w:tc>
        <w:tc>
          <w:tcPr>
            <w:tcW w:w="680" w:type="dxa"/>
            <w:vAlign w:val="center"/>
          </w:tcPr>
          <w:p>
            <w:pPr>
              <w:ind w:leftChars="-50" w:hanging="105" w:hangingChars="50"/>
              <w:jc w:val="center"/>
              <w:rPr>
                <w:rFonts w:ascii="仿宋_GB2312" w:hAnsi="仿宋_GB2312" w:eastAsia="仿宋_GB2312" w:cs="仿宋_GB2312"/>
                <w:b/>
                <w:bCs/>
                <w:szCs w:val="21"/>
              </w:rPr>
            </w:pPr>
            <w:r>
              <w:rPr>
                <w:rFonts w:hint="eastAsia" w:ascii="仿宋_GB2312" w:hAnsi="仿宋_GB2312" w:eastAsia="仿宋_GB2312" w:cs="仿宋_GB2312"/>
                <w:b/>
                <w:bCs/>
                <w:szCs w:val="21"/>
              </w:rPr>
              <w:t>国别</w:t>
            </w:r>
          </w:p>
        </w:tc>
        <w:tc>
          <w:tcPr>
            <w:tcW w:w="1686" w:type="dxa"/>
            <w:vAlign w:val="center"/>
          </w:tcPr>
          <w:p>
            <w:pPr>
              <w:ind w:leftChars="-50" w:right="-84" w:rightChars="-40" w:hanging="105" w:hangingChars="50"/>
              <w:jc w:val="center"/>
              <w:rPr>
                <w:rFonts w:ascii="仿宋_GB2312" w:hAnsi="仿宋_GB2312" w:eastAsia="仿宋_GB2312" w:cs="仿宋_GB2312"/>
                <w:b/>
                <w:bCs/>
                <w:szCs w:val="21"/>
              </w:rPr>
            </w:pPr>
            <w:r>
              <w:rPr>
                <w:rFonts w:hint="eastAsia" w:ascii="仿宋_GB2312" w:hAnsi="仿宋_GB2312" w:eastAsia="仿宋_GB2312" w:cs="仿宋_GB2312"/>
                <w:b/>
                <w:bCs/>
                <w:szCs w:val="21"/>
              </w:rPr>
              <w:t>申请号</w:t>
            </w:r>
          </w:p>
        </w:tc>
        <w:tc>
          <w:tcPr>
            <w:tcW w:w="1520" w:type="dxa"/>
            <w:vAlign w:val="center"/>
          </w:tcPr>
          <w:p>
            <w:pPr>
              <w:ind w:leftChars="-50" w:hanging="105" w:hangingChars="50"/>
              <w:jc w:val="center"/>
              <w:rPr>
                <w:rFonts w:ascii="仿宋_GB2312" w:hAnsi="仿宋_GB2312" w:eastAsia="仿宋_GB2312" w:cs="仿宋_GB2312"/>
                <w:b/>
                <w:bCs/>
                <w:szCs w:val="21"/>
              </w:rPr>
            </w:pPr>
            <w:r>
              <w:rPr>
                <w:rFonts w:hint="eastAsia" w:ascii="仿宋_GB2312" w:hAnsi="仿宋_GB2312" w:eastAsia="仿宋_GB2312" w:cs="仿宋_GB2312"/>
                <w:b/>
                <w:bCs/>
                <w:szCs w:val="21"/>
              </w:rPr>
              <w:t>授权号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适用于采空区上方修建隧道的双尺度耦合数值模拟方法</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发明专利</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仿宋_GB2312" w:hAnsi="仿宋_GB2312" w:eastAsia="仿宋_GB2312" w:cs="仿宋_GB2312"/>
                <w:szCs w:val="21"/>
              </w:rPr>
            </w:pPr>
            <w:r>
              <w:rPr>
                <w:rFonts w:ascii="Arial" w:hAnsi="Arial" w:cs="Arial"/>
                <w:color w:val="333333"/>
                <w:sz w:val="20"/>
                <w:szCs w:val="20"/>
                <w:shd w:val="clear" w:color="auto" w:fill="FFFFFF"/>
              </w:rPr>
              <w:t>ZL202210132854.9</w:t>
            </w:r>
          </w:p>
        </w:tc>
        <w:tc>
          <w:tcPr>
            <w:tcW w:w="1520" w:type="dxa"/>
            <w:vAlign w:val="center"/>
          </w:tcPr>
          <w:p>
            <w:pPr>
              <w:snapToGrid w:val="0"/>
              <w:jc w:val="center"/>
              <w:rPr>
                <w:rFonts w:ascii="仿宋_GB2312" w:hAnsi="仿宋_GB2312" w:eastAsia="仿宋_GB2312" w:cs="仿宋_GB2312"/>
                <w:szCs w:val="21"/>
              </w:rPr>
            </w:pPr>
            <w:r>
              <w:rPr>
                <w:rFonts w:ascii="Arial" w:hAnsi="Arial" w:cs="Arial"/>
                <w:color w:val="333333"/>
                <w:sz w:val="20"/>
                <w:szCs w:val="20"/>
                <w:shd w:val="clear" w:color="auto" w:fill="FFFFFF"/>
              </w:rPr>
              <w:t>CN114564775B</w:t>
            </w:r>
            <w:r>
              <w:rPr>
                <w:rFonts w:hint="eastAsia" w:ascii="Arial" w:hAnsi="Arial" w:cs="Arial"/>
                <w:color w:val="333333"/>
                <w:sz w:val="20"/>
                <w:szCs w:val="20"/>
                <w:shd w:val="clear" w:color="auto" w:fill="FFFFFF"/>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适用于采空塌陷区桥桩嵌岩深度计算方法及装置</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发明专利</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仿宋_GB2312" w:hAnsi="仿宋_GB2312" w:eastAsia="仿宋_GB2312" w:cs="仿宋_GB2312"/>
                <w:szCs w:val="21"/>
              </w:rPr>
            </w:pPr>
            <w:r>
              <w:rPr>
                <w:rFonts w:ascii="Arial" w:hAnsi="Arial" w:cs="Arial"/>
                <w:color w:val="333333"/>
                <w:sz w:val="20"/>
                <w:szCs w:val="20"/>
                <w:shd w:val="clear" w:color="auto" w:fill="FFFFFF"/>
              </w:rPr>
              <w:t>ZL202210006068.5</w:t>
            </w:r>
          </w:p>
        </w:tc>
        <w:tc>
          <w:tcPr>
            <w:tcW w:w="1520" w:type="dxa"/>
            <w:vAlign w:val="center"/>
          </w:tcPr>
          <w:p>
            <w:pPr>
              <w:snapToGrid w:val="0"/>
              <w:jc w:val="center"/>
              <w:rPr>
                <w:rFonts w:ascii="仿宋_GB2312" w:hAnsi="仿宋_GB2312" w:eastAsia="仿宋_GB2312" w:cs="仿宋_GB2312"/>
                <w:szCs w:val="21"/>
              </w:rPr>
            </w:pPr>
            <w:r>
              <w:rPr>
                <w:rFonts w:ascii="Arial" w:hAnsi="Arial" w:cs="Arial"/>
                <w:color w:val="333333"/>
                <w:sz w:val="20"/>
                <w:szCs w:val="20"/>
                <w:shd w:val="clear" w:color="auto" w:fill="FFFFFF"/>
              </w:rPr>
              <w:t>CN114528687B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多煤层采空区覆岩残余变形预测方法及装置</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发明专利</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仿宋_GB2312" w:hAnsi="仿宋_GB2312" w:eastAsia="仿宋_GB2312" w:cs="仿宋_GB2312"/>
                <w:szCs w:val="21"/>
              </w:rPr>
            </w:pPr>
            <w:r>
              <w:rPr>
                <w:rFonts w:ascii="Arial" w:hAnsi="Arial" w:cs="Arial"/>
                <w:color w:val="333333"/>
                <w:sz w:val="20"/>
                <w:szCs w:val="20"/>
                <w:shd w:val="clear" w:color="auto" w:fill="FFFFFF"/>
              </w:rPr>
              <w:t>ZL202111370929.X</w:t>
            </w:r>
          </w:p>
        </w:tc>
        <w:tc>
          <w:tcPr>
            <w:tcW w:w="1520" w:type="dxa"/>
            <w:vAlign w:val="center"/>
          </w:tcPr>
          <w:p>
            <w:pPr>
              <w:snapToGrid w:val="0"/>
              <w:jc w:val="center"/>
              <w:rPr>
                <w:rFonts w:ascii="仿宋_GB2312" w:hAnsi="仿宋_GB2312" w:eastAsia="仿宋_GB2312" w:cs="仿宋_GB2312"/>
                <w:szCs w:val="21"/>
              </w:rPr>
            </w:pPr>
            <w:r>
              <w:rPr>
                <w:rFonts w:ascii="Arial" w:hAnsi="Arial" w:cs="Arial"/>
                <w:color w:val="333333"/>
                <w:sz w:val="20"/>
                <w:szCs w:val="20"/>
                <w:shd w:val="clear" w:color="auto" w:fill="FFFFFF"/>
              </w:rPr>
              <w:t>CN114065525B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一种利用随钻监测技术非取芯快速测试岩体块度指数的方法</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发明专利</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ZL201811083588.6</w:t>
            </w:r>
          </w:p>
        </w:tc>
        <w:tc>
          <w:tcPr>
            <w:tcW w:w="1520"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CN109162693B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一种采空区连通性探测装置</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发明专利</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Arial" w:hAnsi="Arial" w:cs="Arial"/>
                <w:color w:val="333333"/>
                <w:sz w:val="20"/>
                <w:szCs w:val="20"/>
                <w:shd w:val="clear" w:color="auto" w:fill="FFFFFF"/>
              </w:rPr>
            </w:pPr>
            <w:r>
              <w:rPr>
                <w:rFonts w:hint="eastAsia" w:ascii="Arial" w:hAnsi="Arial" w:cs="Arial"/>
                <w:color w:val="333333"/>
                <w:sz w:val="20"/>
                <w:szCs w:val="20"/>
                <w:shd w:val="clear" w:color="auto" w:fill="FFFFFF"/>
              </w:rPr>
              <w:t>Z</w:t>
            </w:r>
            <w:r>
              <w:rPr>
                <w:rFonts w:ascii="Arial" w:hAnsi="Arial" w:cs="Arial"/>
                <w:color w:val="333333"/>
                <w:sz w:val="20"/>
                <w:szCs w:val="20"/>
                <w:shd w:val="clear" w:color="auto" w:fill="FFFFFF"/>
              </w:rPr>
              <w:t>L202310474459.4</w:t>
            </w:r>
          </w:p>
        </w:tc>
        <w:tc>
          <w:tcPr>
            <w:tcW w:w="1520"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CN116203649B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一种采空区深部地层沉降监测装置及其制作方法</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发明专利</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ZL201910390940.9</w:t>
            </w:r>
          </w:p>
        </w:tc>
        <w:tc>
          <w:tcPr>
            <w:tcW w:w="1520"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CN109990759B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适用于煤矿采空区覆岩及地表变形的数值模拟方法及装置</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发明专利</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ZL202211358462.1</w:t>
            </w:r>
          </w:p>
        </w:tc>
        <w:tc>
          <w:tcPr>
            <w:tcW w:w="1520"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CN115753442B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破碎岩石压实物理模型试验机</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实用新型</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ZL202122749644.9</w:t>
            </w:r>
          </w:p>
        </w:tc>
        <w:tc>
          <w:tcPr>
            <w:tcW w:w="1520"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CN215985537U</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采空塌陷区隧道变形监测与灾害预警系统</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软件著作权</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2022R11S1356750</w:t>
            </w:r>
          </w:p>
        </w:tc>
        <w:tc>
          <w:tcPr>
            <w:tcW w:w="1520"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2022SR1408828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06" w:type="dxa"/>
            <w:vAlign w:val="center"/>
          </w:tcPr>
          <w:p>
            <w:pPr>
              <w:rPr>
                <w:rFonts w:ascii="仿宋_GB2312" w:hAnsi="仿宋_GB2312" w:eastAsia="仿宋_GB2312" w:cs="仿宋_GB2312"/>
                <w:szCs w:val="21"/>
              </w:rPr>
            </w:pPr>
            <w:r>
              <w:rPr>
                <w:rFonts w:hint="eastAsia" w:ascii="仿宋_GB2312" w:hAnsi="仿宋_GB2312" w:eastAsia="仿宋_GB2312" w:cs="仿宋_GB2312"/>
                <w:szCs w:val="21"/>
              </w:rPr>
              <w:t>煤矿采空区治理工程充填效果智能检测评价系统</w:t>
            </w:r>
          </w:p>
        </w:tc>
        <w:tc>
          <w:tcPr>
            <w:tcW w:w="1673"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软件著作权</w:t>
            </w:r>
          </w:p>
        </w:tc>
        <w:tc>
          <w:tcPr>
            <w:tcW w:w="680" w:type="dxa"/>
            <w:vAlign w:val="center"/>
          </w:tcPr>
          <w:p>
            <w:pPr>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中国</w:t>
            </w:r>
          </w:p>
        </w:tc>
        <w:tc>
          <w:tcPr>
            <w:tcW w:w="1686" w:type="dxa"/>
            <w:vAlign w:val="center"/>
          </w:tcPr>
          <w:p>
            <w:pPr>
              <w:snapToGrid w:val="0"/>
              <w:jc w:val="center"/>
              <w:rPr>
                <w:rFonts w:ascii="Arial" w:hAnsi="Arial" w:cs="Arial"/>
                <w:color w:val="333333"/>
                <w:sz w:val="20"/>
                <w:szCs w:val="20"/>
                <w:shd w:val="clear" w:color="auto" w:fill="FFFFFF"/>
              </w:rPr>
            </w:pPr>
            <w:r>
              <w:rPr>
                <w:rFonts w:ascii="Arial" w:hAnsi="Arial" w:cs="Arial"/>
                <w:color w:val="333333"/>
                <w:sz w:val="20"/>
                <w:szCs w:val="20"/>
                <w:shd w:val="clear" w:color="auto" w:fill="FFFFFF"/>
              </w:rPr>
              <w:t>2023R11L0440139</w:t>
            </w:r>
          </w:p>
        </w:tc>
        <w:tc>
          <w:tcPr>
            <w:tcW w:w="1520" w:type="dxa"/>
            <w:vAlign w:val="center"/>
          </w:tcPr>
          <w:p>
            <w:pPr>
              <w:snapToGrid w:val="0"/>
              <w:jc w:val="center"/>
              <w:rPr>
                <w:rFonts w:ascii="Arial" w:hAnsi="Arial" w:cs="Arial"/>
                <w:color w:val="333333"/>
                <w:sz w:val="20"/>
                <w:szCs w:val="20"/>
                <w:shd w:val="clear" w:color="auto" w:fill="FFFFFF"/>
              </w:rPr>
            </w:pPr>
            <w:r>
              <w:rPr>
                <w:rFonts w:hint="eastAsia" w:ascii="Arial" w:hAnsi="Arial" w:cs="Arial"/>
                <w:color w:val="333333"/>
                <w:sz w:val="20"/>
                <w:szCs w:val="20"/>
                <w:shd w:val="clear" w:color="auto" w:fill="FFFFFF"/>
              </w:rPr>
              <w:t>2023SR0558908</w:t>
            </w:r>
          </w:p>
        </w:tc>
      </w:tr>
    </w:tbl>
    <w:p>
      <w:pPr>
        <w:tabs>
          <w:tab w:val="left" w:pos="5760"/>
        </w:tabs>
        <w:adjustRightInd w:val="0"/>
        <w:jc w:val="left"/>
        <w:rPr>
          <w:rFonts w:ascii="仿宋_GB2312" w:hAnsi="仿宋_GB2312" w:eastAsia="仿宋_GB2312" w:cs="仿宋_GB2312"/>
          <w:b/>
          <w:szCs w:val="21"/>
        </w:rPr>
      </w:pPr>
      <w:r>
        <w:rPr>
          <w:rFonts w:hint="eastAsia" w:ascii="仿宋_GB2312" w:hAnsi="仿宋_GB2312" w:eastAsia="仿宋_GB2312" w:cs="仿宋_GB2312"/>
          <w:b/>
          <w:szCs w:val="21"/>
        </w:rPr>
        <w:t>七、主要完成人情况：</w:t>
      </w: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1"/>
        <w:gridCol w:w="1185"/>
        <w:gridCol w:w="741"/>
        <w:gridCol w:w="1488"/>
        <w:gridCol w:w="2301"/>
        <w:gridCol w:w="34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b/>
                <w:bCs/>
                <w:szCs w:val="21"/>
              </w:rPr>
            </w:pPr>
            <w:r>
              <w:rPr>
                <w:rFonts w:hint="eastAsia" w:ascii="仿宋_GB2312" w:hAnsi="仿宋_GB2312" w:eastAsia="仿宋_GB2312" w:cs="仿宋_GB2312"/>
                <w:b/>
                <w:bCs/>
                <w:szCs w:val="21"/>
              </w:rPr>
              <w:t>序号</w:t>
            </w:r>
          </w:p>
        </w:tc>
        <w:tc>
          <w:tcPr>
            <w:tcW w:w="1185" w:type="dxa"/>
            <w:tcBorders>
              <w:tl2br w:val="nil"/>
              <w:tr2bl w:val="nil"/>
            </w:tcBorders>
            <w:vAlign w:val="center"/>
          </w:tcPr>
          <w:p>
            <w:pPr>
              <w:jc w:val="center"/>
              <w:rPr>
                <w:rFonts w:ascii="仿宋_GB2312" w:hAnsi="仿宋_GB2312" w:eastAsia="仿宋_GB2312" w:cs="仿宋_GB2312"/>
                <w:b/>
                <w:bCs/>
                <w:szCs w:val="21"/>
              </w:rPr>
            </w:pPr>
            <w:r>
              <w:rPr>
                <w:rFonts w:hint="eastAsia" w:ascii="仿宋_GB2312" w:hAnsi="仿宋_GB2312" w:eastAsia="仿宋_GB2312" w:cs="仿宋_GB2312"/>
                <w:b/>
                <w:bCs/>
                <w:szCs w:val="21"/>
              </w:rPr>
              <w:t>姓  名</w:t>
            </w:r>
          </w:p>
        </w:tc>
        <w:tc>
          <w:tcPr>
            <w:tcW w:w="741" w:type="dxa"/>
            <w:tcBorders>
              <w:tl2br w:val="nil"/>
              <w:tr2bl w:val="nil"/>
            </w:tcBorders>
            <w:vAlign w:val="center"/>
          </w:tcPr>
          <w:p>
            <w:pPr>
              <w:jc w:val="center"/>
              <w:rPr>
                <w:rFonts w:ascii="仿宋_GB2312" w:hAnsi="仿宋_GB2312" w:eastAsia="仿宋_GB2312" w:cs="仿宋_GB2312"/>
                <w:b/>
                <w:bCs/>
                <w:szCs w:val="21"/>
              </w:rPr>
            </w:pPr>
            <w:r>
              <w:rPr>
                <w:rFonts w:hint="eastAsia" w:ascii="仿宋_GB2312" w:hAnsi="仿宋_GB2312" w:eastAsia="仿宋_GB2312" w:cs="仿宋_GB2312"/>
                <w:b/>
                <w:bCs/>
                <w:szCs w:val="21"/>
              </w:rPr>
              <w:t>性别</w:t>
            </w:r>
          </w:p>
        </w:tc>
        <w:tc>
          <w:tcPr>
            <w:tcW w:w="1488" w:type="dxa"/>
            <w:tcBorders>
              <w:tl2br w:val="nil"/>
              <w:tr2bl w:val="nil"/>
            </w:tcBorders>
            <w:vAlign w:val="center"/>
          </w:tcPr>
          <w:p>
            <w:pPr>
              <w:jc w:val="center"/>
              <w:rPr>
                <w:rFonts w:ascii="仿宋_GB2312" w:hAnsi="仿宋_GB2312" w:eastAsia="仿宋_GB2312" w:cs="仿宋_GB2312"/>
                <w:b/>
                <w:bCs/>
                <w:szCs w:val="21"/>
              </w:rPr>
            </w:pPr>
            <w:r>
              <w:rPr>
                <w:rFonts w:hint="eastAsia" w:ascii="仿宋_GB2312" w:hAnsi="仿宋_GB2312" w:eastAsia="仿宋_GB2312" w:cs="仿宋_GB2312"/>
                <w:b/>
                <w:bCs/>
                <w:szCs w:val="21"/>
              </w:rPr>
              <w:t>职称职务</w:t>
            </w:r>
          </w:p>
        </w:tc>
        <w:tc>
          <w:tcPr>
            <w:tcW w:w="2301" w:type="dxa"/>
            <w:tcBorders>
              <w:tl2br w:val="nil"/>
              <w:tr2bl w:val="nil"/>
            </w:tcBorders>
            <w:vAlign w:val="center"/>
          </w:tcPr>
          <w:p>
            <w:pPr>
              <w:jc w:val="center"/>
              <w:rPr>
                <w:rFonts w:ascii="仿宋_GB2312" w:hAnsi="仿宋_GB2312" w:eastAsia="仿宋_GB2312" w:cs="仿宋_GB2312"/>
                <w:b/>
                <w:bCs/>
                <w:szCs w:val="21"/>
              </w:rPr>
            </w:pPr>
            <w:r>
              <w:rPr>
                <w:rFonts w:hint="eastAsia" w:ascii="仿宋_GB2312" w:hAnsi="仿宋_GB2312" w:eastAsia="仿宋_GB2312" w:cs="仿宋_GB2312"/>
                <w:b/>
                <w:bCs/>
                <w:szCs w:val="21"/>
              </w:rPr>
              <w:t>工  作  单  位</w:t>
            </w:r>
          </w:p>
        </w:tc>
        <w:tc>
          <w:tcPr>
            <w:tcW w:w="3408" w:type="dxa"/>
            <w:tcBorders>
              <w:tl2br w:val="nil"/>
              <w:tr2bl w:val="nil"/>
            </w:tcBorders>
            <w:vAlign w:val="center"/>
          </w:tcPr>
          <w:p>
            <w:pPr>
              <w:jc w:val="center"/>
              <w:rPr>
                <w:rFonts w:ascii="仿宋_GB2312" w:hAnsi="仿宋_GB2312" w:eastAsia="仿宋_GB2312" w:cs="仿宋_GB2312"/>
                <w:b/>
                <w:bCs/>
                <w:szCs w:val="21"/>
              </w:rPr>
            </w:pPr>
            <w:r>
              <w:rPr>
                <w:rFonts w:hint="eastAsia" w:ascii="仿宋_GB2312" w:hAnsi="仿宋_GB2312" w:eastAsia="仿宋_GB2312" w:cs="仿宋_GB2312"/>
                <w:b/>
                <w:bCs/>
                <w:szCs w:val="21"/>
              </w:rPr>
              <w:t>对项目主要贡献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1</w:t>
            </w:r>
          </w:p>
        </w:tc>
        <w:tc>
          <w:tcPr>
            <w:tcW w:w="1185"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 xml:space="preserve">王 </w:t>
            </w:r>
            <w:r>
              <w:rPr>
                <w:rFonts w:ascii="仿宋_GB2312" w:hAnsi="仿宋_GB2312" w:eastAsia="仿宋_GB2312" w:cs="仿宋_GB2312"/>
                <w:szCs w:val="21"/>
              </w:rPr>
              <w:t xml:space="preserve"> </w:t>
            </w:r>
            <w:r>
              <w:rPr>
                <w:rFonts w:hint="eastAsia" w:ascii="仿宋_GB2312" w:hAnsi="仿宋_GB2312" w:eastAsia="仿宋_GB2312" w:cs="仿宋_GB2312"/>
                <w:szCs w:val="21"/>
              </w:rPr>
              <w:t>海</w:t>
            </w:r>
          </w:p>
        </w:tc>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男</w:t>
            </w:r>
          </w:p>
        </w:tc>
        <w:tc>
          <w:tcPr>
            <w:tcW w:w="148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正高级工程师</w:t>
            </w:r>
          </w:p>
        </w:tc>
        <w:tc>
          <w:tcPr>
            <w:tcW w:w="230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山西省交通规划勘察设计院有限公司</w:t>
            </w:r>
          </w:p>
        </w:tc>
        <w:tc>
          <w:tcPr>
            <w:tcW w:w="340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对项目创新点（一）、（二）、（三）有突出贡献。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2</w:t>
            </w:r>
          </w:p>
        </w:tc>
        <w:tc>
          <w:tcPr>
            <w:tcW w:w="1185"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范晓江</w:t>
            </w:r>
          </w:p>
        </w:tc>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男</w:t>
            </w:r>
          </w:p>
        </w:tc>
        <w:tc>
          <w:tcPr>
            <w:tcW w:w="148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正高级工程师</w:t>
            </w:r>
          </w:p>
        </w:tc>
        <w:tc>
          <w:tcPr>
            <w:tcW w:w="230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山西省交通规划勘察设计院有限公司</w:t>
            </w:r>
          </w:p>
        </w:tc>
        <w:tc>
          <w:tcPr>
            <w:tcW w:w="340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对项目创新点（一）、（二）有突出贡献。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3</w:t>
            </w:r>
          </w:p>
        </w:tc>
        <w:tc>
          <w:tcPr>
            <w:tcW w:w="1185"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徐能雄</w:t>
            </w:r>
          </w:p>
        </w:tc>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男</w:t>
            </w:r>
          </w:p>
        </w:tc>
        <w:tc>
          <w:tcPr>
            <w:tcW w:w="148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教授</w:t>
            </w:r>
          </w:p>
        </w:tc>
        <w:tc>
          <w:tcPr>
            <w:tcW w:w="230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中国地质大学（北京）</w:t>
            </w:r>
          </w:p>
        </w:tc>
        <w:tc>
          <w:tcPr>
            <w:tcW w:w="340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对项目创新点（一）、（二）、（三）有突出贡献。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1185"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 xml:space="preserve">秦 </w:t>
            </w:r>
            <w:r>
              <w:rPr>
                <w:rFonts w:ascii="仿宋_GB2312" w:hAnsi="仿宋_GB2312" w:eastAsia="仿宋_GB2312" w:cs="仿宋_GB2312"/>
                <w:szCs w:val="21"/>
              </w:rPr>
              <w:t xml:space="preserve"> </w:t>
            </w:r>
            <w:r>
              <w:rPr>
                <w:rFonts w:hint="eastAsia" w:ascii="仿宋_GB2312" w:hAnsi="仿宋_GB2312" w:eastAsia="仿宋_GB2312" w:cs="仿宋_GB2312"/>
                <w:szCs w:val="21"/>
              </w:rPr>
              <w:t>严</w:t>
            </w:r>
          </w:p>
        </w:tc>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男</w:t>
            </w:r>
          </w:p>
        </w:tc>
        <w:tc>
          <w:tcPr>
            <w:tcW w:w="148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讲师</w:t>
            </w:r>
          </w:p>
        </w:tc>
        <w:tc>
          <w:tcPr>
            <w:tcW w:w="230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中国地质大学（北京）</w:t>
            </w:r>
          </w:p>
        </w:tc>
        <w:tc>
          <w:tcPr>
            <w:tcW w:w="340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对项目创新点（一）、（二）有突出贡献。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1185"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董建兴</w:t>
            </w:r>
          </w:p>
        </w:tc>
        <w:tc>
          <w:tcPr>
            <w:tcW w:w="741" w:type="dxa"/>
            <w:tcBorders>
              <w:tl2br w:val="nil"/>
              <w:tr2bl w:val="nil"/>
            </w:tcBorders>
            <w:vAlign w:val="center"/>
          </w:tcPr>
          <w:p>
            <w:pPr>
              <w:adjustRightInd w:val="0"/>
              <w:snapToGrid w:val="0"/>
              <w:jc w:val="center"/>
              <w:rPr>
                <w:rFonts w:ascii="仿宋_GB2312" w:hAnsi="仿宋_GB2312" w:eastAsia="仿宋_GB2312" w:cs="仿宋_GB2312"/>
                <w:szCs w:val="21"/>
              </w:rPr>
            </w:pPr>
            <w:r>
              <w:rPr>
                <w:rFonts w:hint="eastAsia" w:ascii="仿宋_GB2312" w:hAnsi="仿宋_GB2312" w:eastAsia="仿宋_GB2312" w:cs="仿宋_GB2312"/>
                <w:szCs w:val="21"/>
              </w:rPr>
              <w:t>男</w:t>
            </w:r>
          </w:p>
        </w:tc>
        <w:tc>
          <w:tcPr>
            <w:tcW w:w="148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正高级工程师</w:t>
            </w:r>
          </w:p>
        </w:tc>
        <w:tc>
          <w:tcPr>
            <w:tcW w:w="230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山西省交通规划勘察设计院有限公司</w:t>
            </w:r>
          </w:p>
        </w:tc>
        <w:tc>
          <w:tcPr>
            <w:tcW w:w="340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对项目创新点（一）、（三）有突出贡献。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1185"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 xml:space="preserve">武 </w:t>
            </w:r>
            <w:r>
              <w:rPr>
                <w:rFonts w:ascii="仿宋_GB2312" w:hAnsi="仿宋_GB2312" w:eastAsia="仿宋_GB2312" w:cs="仿宋_GB2312"/>
                <w:szCs w:val="21"/>
              </w:rPr>
              <w:t xml:space="preserve"> </w:t>
            </w:r>
            <w:r>
              <w:rPr>
                <w:rFonts w:hint="eastAsia" w:ascii="仿宋_GB2312" w:hAnsi="仿宋_GB2312" w:eastAsia="仿宋_GB2312" w:cs="仿宋_GB2312"/>
                <w:szCs w:val="21"/>
              </w:rPr>
              <w:t>军</w:t>
            </w:r>
          </w:p>
        </w:tc>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男</w:t>
            </w:r>
          </w:p>
        </w:tc>
        <w:tc>
          <w:tcPr>
            <w:tcW w:w="148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正高级工程师</w:t>
            </w:r>
          </w:p>
        </w:tc>
        <w:tc>
          <w:tcPr>
            <w:tcW w:w="230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山西省交通规划勘察设计院有限公司</w:t>
            </w:r>
          </w:p>
        </w:tc>
        <w:tc>
          <w:tcPr>
            <w:tcW w:w="340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对项目创新点（二）有突出贡献。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7</w:t>
            </w:r>
          </w:p>
        </w:tc>
        <w:tc>
          <w:tcPr>
            <w:tcW w:w="1185"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李海喜</w:t>
            </w:r>
          </w:p>
        </w:tc>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男</w:t>
            </w:r>
          </w:p>
        </w:tc>
        <w:tc>
          <w:tcPr>
            <w:tcW w:w="148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正高级工程师</w:t>
            </w:r>
          </w:p>
        </w:tc>
        <w:tc>
          <w:tcPr>
            <w:tcW w:w="230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山西省交通规划勘察设计院有限公司</w:t>
            </w:r>
          </w:p>
        </w:tc>
        <w:tc>
          <w:tcPr>
            <w:tcW w:w="340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对项目创新点（三）有突出贡献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8</w:t>
            </w:r>
          </w:p>
        </w:tc>
        <w:tc>
          <w:tcPr>
            <w:tcW w:w="1185"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刘新文</w:t>
            </w:r>
          </w:p>
        </w:tc>
        <w:tc>
          <w:tcPr>
            <w:tcW w:w="74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男</w:t>
            </w:r>
          </w:p>
        </w:tc>
        <w:tc>
          <w:tcPr>
            <w:tcW w:w="148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高级工程师</w:t>
            </w:r>
          </w:p>
        </w:tc>
        <w:tc>
          <w:tcPr>
            <w:tcW w:w="2301"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山西省交通规划勘察设计院有限公司</w:t>
            </w:r>
          </w:p>
        </w:tc>
        <w:tc>
          <w:tcPr>
            <w:tcW w:w="3408" w:type="dxa"/>
            <w:tcBorders>
              <w:tl2br w:val="nil"/>
              <w:tr2bl w:val="nil"/>
            </w:tcBorders>
            <w:vAlign w:val="center"/>
          </w:tcPr>
          <w:p>
            <w:pPr>
              <w:jc w:val="center"/>
              <w:rPr>
                <w:rFonts w:ascii="仿宋_GB2312" w:hAnsi="仿宋_GB2312" w:eastAsia="仿宋_GB2312" w:cs="仿宋_GB2312"/>
                <w:szCs w:val="21"/>
              </w:rPr>
            </w:pPr>
            <w:r>
              <w:rPr>
                <w:rFonts w:hint="eastAsia" w:ascii="仿宋_GB2312" w:hAnsi="仿宋_GB2312" w:eastAsia="仿宋_GB2312" w:cs="仿宋_GB2312"/>
                <w:szCs w:val="21"/>
              </w:rPr>
              <w:t>对项目创新点（三）有突出贡献</w:t>
            </w:r>
          </w:p>
        </w:tc>
      </w:tr>
    </w:tbl>
    <w:p>
      <w:pPr>
        <w:numPr>
          <w:ilvl w:val="0"/>
          <w:numId w:val="2"/>
        </w:numPr>
        <w:rPr>
          <w:rFonts w:ascii="仿宋_GB2312" w:hAnsi="仿宋_GB2312" w:eastAsia="仿宋_GB2312" w:cs="仿宋_GB2312"/>
          <w:b/>
          <w:szCs w:val="21"/>
        </w:rPr>
      </w:pPr>
      <w:r>
        <w:rPr>
          <w:rFonts w:hint="eastAsia" w:ascii="仿宋_GB2312" w:hAnsi="仿宋_GB2312" w:eastAsia="仿宋_GB2312" w:cs="仿宋_GB2312"/>
          <w:b/>
          <w:szCs w:val="21"/>
        </w:rPr>
        <w:t>主要完成单位及创新推广贡献：</w:t>
      </w:r>
    </w:p>
    <w:tbl>
      <w:tblPr>
        <w:tblStyle w:val="6"/>
        <w:tblW w:w="986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167"/>
        <w:gridCol w:w="70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1" w:type="dxa"/>
            <w:tcBorders>
              <w:tl2br w:val="nil"/>
              <w:tr2bl w:val="nil"/>
            </w:tcBorders>
            <w:vAlign w:val="center"/>
          </w:tcPr>
          <w:p>
            <w:pPr>
              <w:adjustRightInd w:val="0"/>
              <w:snapToGrid w:val="0"/>
              <w:ind w:left="-105" w:leftChars="-50" w:right="-105" w:rightChars="-50"/>
              <w:jc w:val="center"/>
              <w:rPr>
                <w:rFonts w:ascii="Times New Roman" w:hAnsi="Times New Roman" w:eastAsia="仿宋_GB2312" w:cs="仿宋_GB2312"/>
                <w:b/>
                <w:bCs/>
                <w:szCs w:val="21"/>
              </w:rPr>
            </w:pPr>
            <w:r>
              <w:rPr>
                <w:rFonts w:hint="eastAsia" w:ascii="Times New Roman" w:hAnsi="Times New Roman" w:eastAsia="仿宋_GB2312" w:cs="仿宋_GB2312"/>
                <w:b/>
                <w:bCs/>
                <w:szCs w:val="21"/>
              </w:rPr>
              <w:t>排名</w:t>
            </w:r>
          </w:p>
        </w:tc>
        <w:tc>
          <w:tcPr>
            <w:tcW w:w="2167" w:type="dxa"/>
            <w:tcBorders>
              <w:tl2br w:val="nil"/>
              <w:tr2bl w:val="nil"/>
            </w:tcBorders>
            <w:vAlign w:val="center"/>
          </w:tcPr>
          <w:p>
            <w:pPr>
              <w:adjustRightInd w:val="0"/>
              <w:snapToGrid w:val="0"/>
              <w:ind w:left="-105" w:leftChars="-50" w:right="-105" w:rightChars="-50"/>
              <w:jc w:val="center"/>
              <w:rPr>
                <w:rFonts w:ascii="Times New Roman" w:hAnsi="Times New Roman" w:eastAsia="仿宋_GB2312" w:cs="仿宋_GB2312"/>
                <w:b/>
                <w:bCs/>
                <w:szCs w:val="21"/>
              </w:rPr>
            </w:pPr>
            <w:r>
              <w:rPr>
                <w:rFonts w:hint="eastAsia" w:ascii="Times New Roman" w:hAnsi="Times New Roman" w:eastAsia="仿宋_GB2312" w:cs="仿宋_GB2312"/>
                <w:b/>
                <w:bCs/>
                <w:szCs w:val="21"/>
              </w:rPr>
              <w:t>单位名称</w:t>
            </w:r>
          </w:p>
        </w:tc>
        <w:tc>
          <w:tcPr>
            <w:tcW w:w="7006" w:type="dxa"/>
            <w:tcBorders>
              <w:tl2br w:val="nil"/>
              <w:tr2bl w:val="nil"/>
            </w:tcBorders>
            <w:vAlign w:val="center"/>
          </w:tcPr>
          <w:p>
            <w:pPr>
              <w:adjustRightInd w:val="0"/>
              <w:snapToGrid w:val="0"/>
              <w:ind w:left="-105" w:leftChars="-50" w:right="-105" w:rightChars="-50"/>
              <w:jc w:val="center"/>
              <w:rPr>
                <w:rFonts w:ascii="Times New Roman" w:hAnsi="Times New Roman" w:eastAsia="仿宋_GB2312" w:cs="仿宋_GB2312"/>
                <w:b/>
                <w:bCs/>
                <w:szCs w:val="21"/>
              </w:rPr>
            </w:pPr>
            <w:r>
              <w:rPr>
                <w:rFonts w:hint="eastAsia" w:ascii="Times New Roman" w:hAnsi="Times New Roman" w:eastAsia="仿宋_GB2312" w:cs="仿宋_GB2312"/>
                <w:b/>
                <w:bCs/>
                <w:szCs w:val="21"/>
              </w:rPr>
              <w:t>主要贡献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691" w:type="dxa"/>
            <w:tcBorders>
              <w:tl2br w:val="nil"/>
              <w:tr2bl w:val="nil"/>
            </w:tcBorders>
            <w:vAlign w:val="center"/>
          </w:tcPr>
          <w:p>
            <w:pPr>
              <w:adjustRightInd w:val="0"/>
              <w:snapToGrid w:val="0"/>
              <w:ind w:left="-105" w:leftChars="-50" w:right="-105" w:rightChars="-50"/>
              <w:jc w:val="center"/>
              <w:rPr>
                <w:rFonts w:ascii="Times New Roman" w:hAnsi="Times New Roman" w:eastAsia="仿宋_GB2312" w:cs="仿宋_GB2312"/>
                <w:szCs w:val="21"/>
              </w:rPr>
            </w:pPr>
            <w:r>
              <w:rPr>
                <w:rFonts w:hint="eastAsia" w:ascii="Times New Roman" w:hAnsi="Times New Roman" w:eastAsia="仿宋_GB2312" w:cs="仿宋_GB2312"/>
                <w:szCs w:val="21"/>
              </w:rPr>
              <w:t>1</w:t>
            </w:r>
          </w:p>
        </w:tc>
        <w:tc>
          <w:tcPr>
            <w:tcW w:w="2167" w:type="dxa"/>
            <w:tcBorders>
              <w:tl2br w:val="nil"/>
              <w:tr2bl w:val="nil"/>
            </w:tcBorders>
            <w:vAlign w:val="center"/>
          </w:tcPr>
          <w:p>
            <w:pPr>
              <w:adjustRightInd w:val="0"/>
              <w:snapToGrid w:val="0"/>
              <w:jc w:val="center"/>
              <w:rPr>
                <w:rFonts w:ascii="Times New Roman" w:hAnsi="Times New Roman" w:eastAsia="仿宋_GB2312" w:cs="仿宋_GB2312"/>
                <w:szCs w:val="21"/>
              </w:rPr>
            </w:pPr>
            <w:r>
              <w:rPr>
                <w:rFonts w:hint="eastAsia" w:ascii="Times New Roman" w:hAnsi="Times New Roman" w:eastAsia="仿宋_GB2312" w:cs="仿宋_GB2312"/>
                <w:szCs w:val="21"/>
              </w:rPr>
              <w:t>山西省交通规划勘察设计院有限公司</w:t>
            </w:r>
          </w:p>
        </w:tc>
        <w:tc>
          <w:tcPr>
            <w:tcW w:w="7006" w:type="dxa"/>
            <w:tcBorders>
              <w:tl2br w:val="nil"/>
              <w:tr2bl w:val="nil"/>
            </w:tcBorders>
            <w:vAlign w:val="center"/>
          </w:tcPr>
          <w:p>
            <w:pPr>
              <w:adjustRightInd w:val="0"/>
              <w:snapToGrid w:val="0"/>
              <w:rPr>
                <w:rFonts w:ascii="Times New Roman" w:hAnsi="Times New Roman" w:eastAsia="仿宋_GB2312" w:cs="仿宋_GB2312"/>
                <w:szCs w:val="21"/>
              </w:rPr>
            </w:pPr>
            <w:r>
              <w:rPr>
                <w:rFonts w:hint="eastAsia" w:ascii="Times New Roman" w:hAnsi="Times New Roman" w:eastAsia="仿宋_GB2312" w:cs="仿宋_GB2312"/>
                <w:szCs w:val="21"/>
              </w:rPr>
              <w:t>作为知识产权的持有者，对</w:t>
            </w:r>
            <w:r>
              <w:rPr>
                <w:rFonts w:hint="eastAsia" w:ascii="仿宋_GB2312" w:hAnsi="仿宋_GB2312" w:eastAsia="仿宋_GB2312" w:cs="仿宋_GB2312"/>
                <w:szCs w:val="21"/>
              </w:rPr>
              <w:t>下煤层开采对老采空区覆岩及地表变形的活化机制的揭示与山区多煤层采空区变形监测体系的构建方面</w:t>
            </w:r>
            <w:r>
              <w:rPr>
                <w:rFonts w:hint="eastAsia" w:ascii="Times New Roman" w:hAnsi="Times New Roman" w:eastAsia="仿宋_GB2312" w:cs="仿宋_GB2312"/>
                <w:szCs w:val="21"/>
              </w:rPr>
              <w:t>有突出贡献。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91" w:type="dxa"/>
            <w:tcBorders>
              <w:tl2br w:val="nil"/>
              <w:tr2bl w:val="nil"/>
            </w:tcBorders>
            <w:vAlign w:val="center"/>
          </w:tcPr>
          <w:p>
            <w:pPr>
              <w:adjustRightInd w:val="0"/>
              <w:snapToGrid w:val="0"/>
              <w:ind w:left="-105" w:leftChars="-50" w:right="-105" w:rightChars="-50"/>
              <w:jc w:val="center"/>
              <w:rPr>
                <w:rFonts w:ascii="Times New Roman" w:hAnsi="Times New Roman" w:eastAsia="仿宋_GB2312" w:cs="仿宋_GB2312"/>
                <w:szCs w:val="21"/>
              </w:rPr>
            </w:pPr>
            <w:r>
              <w:rPr>
                <w:rFonts w:hint="eastAsia" w:ascii="Times New Roman" w:hAnsi="Times New Roman" w:eastAsia="仿宋_GB2312" w:cs="仿宋_GB2312"/>
                <w:szCs w:val="21"/>
              </w:rPr>
              <w:t>2</w:t>
            </w:r>
          </w:p>
        </w:tc>
        <w:tc>
          <w:tcPr>
            <w:tcW w:w="2167" w:type="dxa"/>
            <w:tcBorders>
              <w:tl2br w:val="nil"/>
              <w:tr2bl w:val="nil"/>
            </w:tcBorders>
            <w:vAlign w:val="center"/>
          </w:tcPr>
          <w:p>
            <w:pPr>
              <w:adjustRightInd w:val="0"/>
              <w:snapToGrid w:val="0"/>
              <w:jc w:val="center"/>
              <w:rPr>
                <w:rFonts w:ascii="Times New Roman" w:hAnsi="Times New Roman" w:eastAsia="仿宋_GB2312" w:cs="仿宋_GB2312"/>
                <w:szCs w:val="21"/>
              </w:rPr>
            </w:pPr>
            <w:r>
              <w:rPr>
                <w:rFonts w:hint="eastAsia" w:ascii="Times New Roman" w:hAnsi="Times New Roman" w:eastAsia="仿宋_GB2312" w:cs="仿宋_GB2312"/>
                <w:szCs w:val="21"/>
              </w:rPr>
              <w:t>中国地质大学（北京）</w:t>
            </w:r>
          </w:p>
        </w:tc>
        <w:tc>
          <w:tcPr>
            <w:tcW w:w="7006" w:type="dxa"/>
            <w:tcBorders>
              <w:tl2br w:val="nil"/>
              <w:tr2bl w:val="nil"/>
            </w:tcBorders>
            <w:vAlign w:val="center"/>
          </w:tcPr>
          <w:p>
            <w:pPr>
              <w:adjustRightInd w:val="0"/>
              <w:snapToGrid w:val="0"/>
              <w:rPr>
                <w:rFonts w:ascii="Times New Roman" w:hAnsi="Times New Roman" w:eastAsia="仿宋_GB2312" w:cs="仿宋_GB2312"/>
                <w:szCs w:val="21"/>
              </w:rPr>
            </w:pPr>
            <w:r>
              <w:rPr>
                <w:rFonts w:hint="eastAsia" w:ascii="Times New Roman" w:hAnsi="Times New Roman" w:eastAsia="仿宋_GB2312" w:cs="仿宋_GB2312"/>
                <w:szCs w:val="21"/>
              </w:rPr>
              <w:t>作为知识产权的持有者，对多煤层采空区岩层移动及地表变形机理揭示与多煤层采空区长期变形组合预测模型构建方面有突出贡献。</w:t>
            </w:r>
          </w:p>
        </w:tc>
      </w:tr>
    </w:tbl>
    <w:p>
      <w:pPr>
        <w:rPr>
          <w:rFonts w:ascii="仿宋_GB2312" w:hAnsi="仿宋_GB2312" w:eastAsia="仿宋_GB2312" w:cs="仿宋_GB2312"/>
          <w:b/>
          <w:szCs w:val="21"/>
        </w:rPr>
      </w:pPr>
      <w:r>
        <w:rPr>
          <w:rFonts w:hint="eastAsia" w:ascii="仿宋_GB2312" w:hAnsi="仿宋_GB2312" w:eastAsia="仿宋_GB2312" w:cs="仿宋_GB2312"/>
          <w:b/>
          <w:szCs w:val="21"/>
        </w:rPr>
        <w:t>九、完成人合作关系说明：</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两位完成人共同参与本项目技术内容的开发与工程应用，其中知识产权方面的合作关系为：</w:t>
      </w:r>
    </w:p>
    <w:p>
      <w:pPr>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第1、2完成人合作参与对第1-</w:t>
      </w:r>
      <w:r>
        <w:rPr>
          <w:rFonts w:ascii="仿宋_GB2312" w:hAnsi="仿宋_GB2312" w:eastAsia="仿宋_GB2312" w:cs="仿宋_GB2312"/>
          <w:szCs w:val="21"/>
        </w:rPr>
        <w:t>6</w:t>
      </w:r>
      <w:r>
        <w:rPr>
          <w:rFonts w:hint="eastAsia" w:ascii="仿宋_GB2312" w:hAnsi="仿宋_GB2312" w:eastAsia="仿宋_GB2312" w:cs="仿宋_GB2312"/>
          <w:szCs w:val="21"/>
        </w:rPr>
        <w:t>项知识产权的开发及应用。</w:t>
      </w:r>
    </w:p>
    <w:sectPr>
      <w:pgSz w:w="11906" w:h="16838"/>
      <w:pgMar w:top="533" w:right="686" w:bottom="249" w:left="686"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076EB"/>
    <w:multiLevelType w:val="singleLevel"/>
    <w:tmpl w:val="83F076EB"/>
    <w:lvl w:ilvl="0" w:tentative="0">
      <w:start w:val="8"/>
      <w:numFmt w:val="chineseCounting"/>
      <w:suff w:val="nothing"/>
      <w:lvlText w:val="%1、"/>
      <w:lvlJc w:val="left"/>
      <w:rPr>
        <w:rFonts w:hint="eastAsia"/>
      </w:rPr>
    </w:lvl>
  </w:abstractNum>
  <w:abstractNum w:abstractNumId="1">
    <w:nsid w:val="5EF9CB37"/>
    <w:multiLevelType w:val="singleLevel"/>
    <w:tmpl w:val="5EF9CB37"/>
    <w:lvl w:ilvl="0" w:tentative="0">
      <w:start w:val="3"/>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gwNmQ1OWQxN2QwNGVjMTY5MDYxZDQ3NDczNzAyMWMifQ=="/>
  </w:docVars>
  <w:rsids>
    <w:rsidRoot w:val="00172A27"/>
    <w:rsid w:val="000029C0"/>
    <w:rsid w:val="000041F5"/>
    <w:rsid w:val="000313E7"/>
    <w:rsid w:val="00035393"/>
    <w:rsid w:val="00037C5E"/>
    <w:rsid w:val="00094101"/>
    <w:rsid w:val="0009595B"/>
    <w:rsid w:val="000A4C4A"/>
    <w:rsid w:val="000D57A9"/>
    <w:rsid w:val="000F2425"/>
    <w:rsid w:val="001012E6"/>
    <w:rsid w:val="00133C71"/>
    <w:rsid w:val="00152924"/>
    <w:rsid w:val="00172A27"/>
    <w:rsid w:val="001771D3"/>
    <w:rsid w:val="00187705"/>
    <w:rsid w:val="00190036"/>
    <w:rsid w:val="001A2FBC"/>
    <w:rsid w:val="001B3EE5"/>
    <w:rsid w:val="001C0191"/>
    <w:rsid w:val="001C0F6D"/>
    <w:rsid w:val="00224E9E"/>
    <w:rsid w:val="00272F76"/>
    <w:rsid w:val="002776F5"/>
    <w:rsid w:val="0028075C"/>
    <w:rsid w:val="00280F08"/>
    <w:rsid w:val="003231A1"/>
    <w:rsid w:val="00342DBD"/>
    <w:rsid w:val="003F6DE3"/>
    <w:rsid w:val="0045126D"/>
    <w:rsid w:val="0045488E"/>
    <w:rsid w:val="0045592D"/>
    <w:rsid w:val="00467351"/>
    <w:rsid w:val="004739E2"/>
    <w:rsid w:val="004927D4"/>
    <w:rsid w:val="004B1BE0"/>
    <w:rsid w:val="004C5D0E"/>
    <w:rsid w:val="004F15FE"/>
    <w:rsid w:val="00513F51"/>
    <w:rsid w:val="005308CE"/>
    <w:rsid w:val="00553727"/>
    <w:rsid w:val="005672D1"/>
    <w:rsid w:val="00581D52"/>
    <w:rsid w:val="00586CCC"/>
    <w:rsid w:val="0059439E"/>
    <w:rsid w:val="005B378E"/>
    <w:rsid w:val="005B583F"/>
    <w:rsid w:val="005F396E"/>
    <w:rsid w:val="005F59F3"/>
    <w:rsid w:val="00612AB9"/>
    <w:rsid w:val="00614C2B"/>
    <w:rsid w:val="006304B5"/>
    <w:rsid w:val="00633BAE"/>
    <w:rsid w:val="00643593"/>
    <w:rsid w:val="00654A12"/>
    <w:rsid w:val="006709D0"/>
    <w:rsid w:val="00675039"/>
    <w:rsid w:val="006B0604"/>
    <w:rsid w:val="006C0927"/>
    <w:rsid w:val="006D5E89"/>
    <w:rsid w:val="006E5FAC"/>
    <w:rsid w:val="006F3C36"/>
    <w:rsid w:val="00700772"/>
    <w:rsid w:val="00741633"/>
    <w:rsid w:val="00792031"/>
    <w:rsid w:val="007A2B4F"/>
    <w:rsid w:val="007D2FF1"/>
    <w:rsid w:val="008154E2"/>
    <w:rsid w:val="00830B43"/>
    <w:rsid w:val="00873C95"/>
    <w:rsid w:val="00881B63"/>
    <w:rsid w:val="008B49FD"/>
    <w:rsid w:val="00904AD8"/>
    <w:rsid w:val="00954F18"/>
    <w:rsid w:val="00964AB5"/>
    <w:rsid w:val="00984A44"/>
    <w:rsid w:val="009A01A1"/>
    <w:rsid w:val="009A1D4B"/>
    <w:rsid w:val="009C7DBF"/>
    <w:rsid w:val="009F2D80"/>
    <w:rsid w:val="00A24D09"/>
    <w:rsid w:val="00A52310"/>
    <w:rsid w:val="00A679AB"/>
    <w:rsid w:val="00A73338"/>
    <w:rsid w:val="00A816E6"/>
    <w:rsid w:val="00AC1CC9"/>
    <w:rsid w:val="00AC3629"/>
    <w:rsid w:val="00AD7826"/>
    <w:rsid w:val="00B03FEA"/>
    <w:rsid w:val="00B26EEB"/>
    <w:rsid w:val="00B453F3"/>
    <w:rsid w:val="00B50314"/>
    <w:rsid w:val="00B52A16"/>
    <w:rsid w:val="00BA0238"/>
    <w:rsid w:val="00BA5D9E"/>
    <w:rsid w:val="00BB6C89"/>
    <w:rsid w:val="00BD66A7"/>
    <w:rsid w:val="00BE45BC"/>
    <w:rsid w:val="00BE73B1"/>
    <w:rsid w:val="00C410C6"/>
    <w:rsid w:val="00C52E8C"/>
    <w:rsid w:val="00C86319"/>
    <w:rsid w:val="00CA6EBE"/>
    <w:rsid w:val="00CC09C2"/>
    <w:rsid w:val="00CC16A7"/>
    <w:rsid w:val="00CC5DCA"/>
    <w:rsid w:val="00D0026F"/>
    <w:rsid w:val="00D018A0"/>
    <w:rsid w:val="00D057D0"/>
    <w:rsid w:val="00D1083B"/>
    <w:rsid w:val="00D10B8A"/>
    <w:rsid w:val="00D52191"/>
    <w:rsid w:val="00D6309B"/>
    <w:rsid w:val="00D8648B"/>
    <w:rsid w:val="00D866E6"/>
    <w:rsid w:val="00DC4DC0"/>
    <w:rsid w:val="00DE6B12"/>
    <w:rsid w:val="00DF23F1"/>
    <w:rsid w:val="00DF5C27"/>
    <w:rsid w:val="00DF6611"/>
    <w:rsid w:val="00E2617D"/>
    <w:rsid w:val="00E400CC"/>
    <w:rsid w:val="00E504C6"/>
    <w:rsid w:val="00E72144"/>
    <w:rsid w:val="00E72266"/>
    <w:rsid w:val="00E730D6"/>
    <w:rsid w:val="00E84469"/>
    <w:rsid w:val="00EB1334"/>
    <w:rsid w:val="00EC03C0"/>
    <w:rsid w:val="00ED211D"/>
    <w:rsid w:val="00ED5EDE"/>
    <w:rsid w:val="00EF050B"/>
    <w:rsid w:val="00EF5596"/>
    <w:rsid w:val="00F3384F"/>
    <w:rsid w:val="00F357F0"/>
    <w:rsid w:val="00F41857"/>
    <w:rsid w:val="00F526C6"/>
    <w:rsid w:val="00F579A0"/>
    <w:rsid w:val="00F60E69"/>
    <w:rsid w:val="00F6549A"/>
    <w:rsid w:val="00F65625"/>
    <w:rsid w:val="00F73925"/>
    <w:rsid w:val="00F82B6C"/>
    <w:rsid w:val="00FC216F"/>
    <w:rsid w:val="00FC7429"/>
    <w:rsid w:val="00FD734E"/>
    <w:rsid w:val="0AF3685E"/>
    <w:rsid w:val="0D074560"/>
    <w:rsid w:val="0D5C636E"/>
    <w:rsid w:val="0E0D1A01"/>
    <w:rsid w:val="0FD6518B"/>
    <w:rsid w:val="107A6B0B"/>
    <w:rsid w:val="12D32ABB"/>
    <w:rsid w:val="1364253C"/>
    <w:rsid w:val="15CE2B4F"/>
    <w:rsid w:val="19E8688F"/>
    <w:rsid w:val="1B3923F6"/>
    <w:rsid w:val="1D150F0C"/>
    <w:rsid w:val="1F890B18"/>
    <w:rsid w:val="21553DC0"/>
    <w:rsid w:val="227E68F0"/>
    <w:rsid w:val="23B914B0"/>
    <w:rsid w:val="25044D32"/>
    <w:rsid w:val="26036053"/>
    <w:rsid w:val="27E9484A"/>
    <w:rsid w:val="2925339C"/>
    <w:rsid w:val="2A727BEE"/>
    <w:rsid w:val="2BE263BF"/>
    <w:rsid w:val="2C486398"/>
    <w:rsid w:val="2D642E1E"/>
    <w:rsid w:val="2ED653F0"/>
    <w:rsid w:val="2FCC737B"/>
    <w:rsid w:val="31620028"/>
    <w:rsid w:val="32560D2E"/>
    <w:rsid w:val="3311670F"/>
    <w:rsid w:val="33461B50"/>
    <w:rsid w:val="33BE787C"/>
    <w:rsid w:val="35086043"/>
    <w:rsid w:val="353006BF"/>
    <w:rsid w:val="3ABC30C7"/>
    <w:rsid w:val="3BE720E4"/>
    <w:rsid w:val="3C287DD1"/>
    <w:rsid w:val="3D2B0AC1"/>
    <w:rsid w:val="3E1A451C"/>
    <w:rsid w:val="3EEB463E"/>
    <w:rsid w:val="413F49FB"/>
    <w:rsid w:val="46A143CE"/>
    <w:rsid w:val="476B0980"/>
    <w:rsid w:val="477041E8"/>
    <w:rsid w:val="48FB7251"/>
    <w:rsid w:val="48FE479B"/>
    <w:rsid w:val="4BDF36EB"/>
    <w:rsid w:val="4C8934FF"/>
    <w:rsid w:val="4D145005"/>
    <w:rsid w:val="4E935248"/>
    <w:rsid w:val="50326047"/>
    <w:rsid w:val="504B057C"/>
    <w:rsid w:val="51B071DE"/>
    <w:rsid w:val="52AB1AD5"/>
    <w:rsid w:val="57C71CB3"/>
    <w:rsid w:val="57DD1D3D"/>
    <w:rsid w:val="59C36368"/>
    <w:rsid w:val="5A2F3A8F"/>
    <w:rsid w:val="5B4433AC"/>
    <w:rsid w:val="685D56E0"/>
    <w:rsid w:val="6B7E5EC1"/>
    <w:rsid w:val="6C5D0F4A"/>
    <w:rsid w:val="6C724640"/>
    <w:rsid w:val="6DCD061A"/>
    <w:rsid w:val="6F4232B2"/>
    <w:rsid w:val="74031A02"/>
    <w:rsid w:val="74B10C70"/>
    <w:rsid w:val="77844DB5"/>
    <w:rsid w:val="77C55352"/>
    <w:rsid w:val="7A225DD3"/>
    <w:rsid w:val="7A65172C"/>
    <w:rsid w:val="7F0D1D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1"/>
    <w:qFormat/>
    <w:uiPriority w:val="0"/>
    <w:pPr>
      <w:keepNext/>
      <w:keepLines/>
      <w:spacing w:before="340" w:after="330" w:line="578" w:lineRule="auto"/>
      <w:outlineLvl w:val="0"/>
    </w:pPr>
    <w:rPr>
      <w:b/>
      <w:bCs/>
      <w:kern w:val="44"/>
      <w:sz w:val="44"/>
      <w:szCs w:val="44"/>
    </w:rPr>
  </w:style>
  <w:style w:type="paragraph" w:styleId="3">
    <w:name w:val="heading 3"/>
    <w:basedOn w:val="1"/>
    <w:next w:val="1"/>
    <w:qFormat/>
    <w:uiPriority w:val="0"/>
    <w:pPr>
      <w:spacing w:before="100" w:beforeAutospacing="1" w:after="100" w:afterAutospacing="1"/>
      <w:jc w:val="left"/>
      <w:outlineLvl w:val="2"/>
    </w:pPr>
    <w:rPr>
      <w:rFonts w:hint="eastAsia" w:ascii="宋体" w:hAnsi="宋体"/>
      <w:b/>
      <w:kern w:val="0"/>
      <w:sz w:val="27"/>
      <w:szCs w:val="27"/>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8">
    <w:name w:val="Hyperlink"/>
    <w:uiPriority w:val="0"/>
    <w:rPr>
      <w:color w:val="0000FF"/>
      <w:u w:val="single"/>
    </w:rPr>
  </w:style>
  <w:style w:type="character" w:customStyle="1" w:styleId="9">
    <w:name w:val="頁尾 字元"/>
    <w:link w:val="4"/>
    <w:qFormat/>
    <w:uiPriority w:val="0"/>
    <w:rPr>
      <w:rFonts w:ascii="Calibri" w:hAnsi="Calibri"/>
      <w:kern w:val="2"/>
      <w:sz w:val="18"/>
      <w:szCs w:val="18"/>
    </w:rPr>
  </w:style>
  <w:style w:type="character" w:customStyle="1" w:styleId="10">
    <w:name w:val="頁首 字元"/>
    <w:link w:val="5"/>
    <w:qFormat/>
    <w:uiPriority w:val="0"/>
    <w:rPr>
      <w:rFonts w:ascii="Calibri" w:hAnsi="Calibri"/>
      <w:kern w:val="2"/>
      <w:sz w:val="18"/>
      <w:szCs w:val="18"/>
    </w:rPr>
  </w:style>
  <w:style w:type="character" w:customStyle="1" w:styleId="11">
    <w:name w:val="標題 1 字元"/>
    <w:basedOn w:val="7"/>
    <w:link w:val="2"/>
    <w:uiPriority w:val="0"/>
    <w:rPr>
      <w:rFonts w:ascii="Calibri" w:hAnsi="Calibri"/>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467</Words>
  <Characters>2667</Characters>
  <Lines>22</Lines>
  <Paragraphs>6</Paragraphs>
  <TotalTime>322</TotalTime>
  <ScaleCrop>false</ScaleCrop>
  <LinksUpToDate>false</LinksUpToDate>
  <CharactersWithSpaces>3128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2023-10-15T01:58:00Z</dcterms:created>
  <dc:creator>Administrator</dc:creator>
  <cp:lastModifiedBy>芦清王</cp:lastModifiedBy>
  <cp:lastPrinted>2019-10-16T07:10:00Z</cp:lastPrinted>
  <dcterms:modified xsi:type="dcterms:W3CDTF">2023-10-16T03:09:16Z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D08E9820C1A34E6A8112DED8E1C56627_13</vt:lpwstr>
  </property>
</Properties>
</file>